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70" w:rsidRPr="00BE1C70" w:rsidRDefault="00BE1C70" w:rsidP="00BE1C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/>
          <w:bCs/>
          <w:color w:val="FF0000"/>
          <w:sz w:val="27"/>
          <w:szCs w:val="27"/>
          <w:u w:val="single"/>
          <w:lang w:eastAsia="cs-CZ"/>
        </w:rPr>
        <w:t xml:space="preserve">Přijímací zkoušky </w:t>
      </w:r>
      <w:r w:rsidRPr="00BE1C70">
        <w:rPr>
          <w:rFonts w:ascii="Verdana" w:eastAsia="Times New Roman" w:hAnsi="Verdana" w:cs="Times New Roman"/>
          <w:b/>
          <w:bCs/>
          <w:color w:val="FF0000"/>
          <w:sz w:val="27"/>
          <w:szCs w:val="27"/>
          <w:u w:val="single"/>
          <w:lang w:eastAsia="cs-CZ"/>
        </w:rPr>
        <w:t xml:space="preserve"> pro školní rok </w:t>
      </w:r>
      <w:r w:rsidR="005276C7">
        <w:rPr>
          <w:rFonts w:ascii="Verdana" w:eastAsia="Times New Roman" w:hAnsi="Verdana" w:cs="Times New Roman"/>
          <w:b/>
          <w:bCs/>
          <w:color w:val="FF0000"/>
          <w:sz w:val="27"/>
          <w:szCs w:val="27"/>
          <w:u w:val="single"/>
          <w:lang w:eastAsia="cs-CZ"/>
        </w:rPr>
        <w:t xml:space="preserve"> 2023 - 24</w:t>
      </w:r>
    </w:p>
    <w:p w:rsidR="003A00C2" w:rsidRPr="003A00C2" w:rsidRDefault="00BE1C70" w:rsidP="00BE1C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E1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Termín podání přihlášek</w:t>
      </w:r>
      <w:r w:rsidRPr="00BE1C7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ke studiu pro uchazeče o obory středního vzdělávání s maturitní zkouškou ve </w:t>
      </w:r>
      <w:r w:rsidRPr="00BE1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všech</w:t>
      </w:r>
      <w:r w:rsidRPr="00BE1C7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formách vzdělávání </w:t>
      </w:r>
      <w:r w:rsidRPr="003A00C2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- </w:t>
      </w:r>
      <w:r w:rsidR="005276C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do 1. března 2023</w:t>
      </w:r>
      <w:r w:rsidR="003A00C2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cs-CZ"/>
        </w:rPr>
        <w:t xml:space="preserve"> </w:t>
      </w:r>
      <w:r w:rsidR="003A00C2">
        <w:rPr>
          <w:rFonts w:ascii="Verdana" w:eastAsia="Times New Roman" w:hAnsi="Verdana" w:cs="Times New Roman"/>
          <w:bCs/>
          <w:color w:val="000000"/>
          <w:sz w:val="27"/>
          <w:szCs w:val="27"/>
          <w:lang w:eastAsia="cs-CZ"/>
        </w:rPr>
        <w:t>(</w:t>
      </w:r>
      <w:r w:rsidR="003A00C2" w:rsidRPr="003A00C2">
        <w:rPr>
          <w:rFonts w:ascii="Verdana" w:eastAsia="Times New Roman" w:hAnsi="Verdana" w:cs="Times New Roman"/>
          <w:bCs/>
          <w:color w:val="000000"/>
          <w:sz w:val="20"/>
          <w:szCs w:val="20"/>
          <w:lang w:eastAsia="cs-CZ"/>
        </w:rPr>
        <w:t>ne</w:t>
      </w:r>
      <w:r w:rsidR="003A00C2">
        <w:rPr>
          <w:rFonts w:ascii="Verdana" w:eastAsia="Times New Roman" w:hAnsi="Verdana" w:cs="Times New Roman"/>
          <w:bCs/>
          <w:color w:val="000000"/>
          <w:sz w:val="20"/>
          <w:szCs w:val="20"/>
          <w:lang w:eastAsia="cs-CZ"/>
        </w:rPr>
        <w:t>jlépe osobně).</w:t>
      </w:r>
    </w:p>
    <w:p w:rsidR="00BE1C70" w:rsidRPr="00BE1C70" w:rsidRDefault="00BE1C70" w:rsidP="00BE1C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Na školy s talentovou zkouškou do 30. listopadu.</w:t>
      </w:r>
      <w:r w:rsidR="005276C7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D97DC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(Po nepřijetí na školu s talentovou zkouškou může žák podat další dvě přihlášky.)</w:t>
      </w:r>
    </w:p>
    <w:p w:rsidR="00BE1C70" w:rsidRPr="00BE1C70" w:rsidRDefault="00BE1C70" w:rsidP="00BE1C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E1C7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MŠMT v souladu s§ 60c odst. 1 zákona č. 561/2014 Sb., o předškolním, základním, středním, vyšším odborném a jiném vzdělávání (školský zákon), ve znění pozdějších předpisů, stanoví konkrétní termíny konání </w:t>
      </w:r>
      <w:r w:rsidRPr="00BE1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jednotné zkoušky </w:t>
      </w:r>
      <w:r w:rsidRPr="00BE1C7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v 1. kole přijímacího řízení do stanovených </w:t>
      </w:r>
      <w:r w:rsidRPr="00BE1C7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oborů středního vzdělávání s maturitní zkouškou ve všech formách</w:t>
      </w:r>
      <w:r w:rsidRPr="00BE1C7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vzdělávání.</w:t>
      </w:r>
    </w:p>
    <w:p w:rsidR="00D97DC9" w:rsidRPr="00D97DC9" w:rsidRDefault="00D97DC9" w:rsidP="00D97D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D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Jednotné přijímací zkoušky pro </w:t>
      </w:r>
      <w:r w:rsidRPr="00D97D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čtyřleté</w:t>
      </w:r>
      <w:r w:rsidRPr="00D97D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maturitní obory se budou konat </w:t>
      </w:r>
      <w:r w:rsidR="005276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13.</w:t>
      </w:r>
      <w:r w:rsidRPr="00D97D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76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14. dubna 2023</w:t>
      </w:r>
      <w:r w:rsidRPr="00D97D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97DC9" w:rsidRPr="00D97DC9" w:rsidRDefault="00D97DC9" w:rsidP="00D97D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7D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Jednotné přijímačky na </w:t>
      </w:r>
      <w:r w:rsidRPr="00D97D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šestiletá a osmiletá</w:t>
      </w:r>
      <w:r w:rsidRPr="00D97D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97D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gymnázia</w:t>
      </w:r>
      <w:r w:rsidRPr="00D97D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uskuteční </w:t>
      </w:r>
      <w:r w:rsidR="005276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 a 18. dubna 2023</w:t>
      </w:r>
      <w:r w:rsidRPr="00D97D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02B44" w:rsidRPr="00D97DC9" w:rsidRDefault="00D97DC9" w:rsidP="00252F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D97D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Náhradní termíny</w:t>
      </w:r>
      <w:r w:rsidRPr="00D97D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pak vypsány na </w:t>
      </w:r>
      <w:r w:rsidR="005276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a 11. května 2023</w:t>
      </w:r>
      <w:bookmarkStart w:id="0" w:name="_GoBack"/>
      <w:bookmarkEnd w:id="0"/>
      <w:r w:rsidRPr="00D97D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A498B" w:rsidRDefault="00802B44" w:rsidP="00BE1C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Žáci jdou na přijímací zkoušku</w:t>
      </w:r>
      <w:r w:rsidR="005A498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v obou termínech (1. termín-1. škola na přihlášce, 2. termín – 2. </w:t>
      </w:r>
      <w:r w:rsidR="0068476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š</w:t>
      </w:r>
      <w:r w:rsidR="005A498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kola</w:t>
      </w:r>
      <w:r w:rsidR="0068476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– termíny se na přihláškách nevyplňují, školy pošlou pozvánky</w:t>
      </w:r>
      <w:r w:rsidR="005A498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).</w:t>
      </w:r>
    </w:p>
    <w:p w:rsidR="005A498B" w:rsidRDefault="005A498B" w:rsidP="00BE1C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Nemůže-li se žák dostavit, rodiče ho omluví telefonicky</w:t>
      </w:r>
      <w:r w:rsidR="0068476F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v den přijímací zkoušky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, písemně do tří dnů-potvrzení lékaře.</w:t>
      </w:r>
    </w:p>
    <w:p w:rsidR="0067576D" w:rsidRPr="00D97DC9" w:rsidRDefault="0067576D" w:rsidP="0067576D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prvním kole přijímacího řízení je možné podat maximálně dvě přihlášky. (Na každé přihláš</w:t>
      </w:r>
      <w:r w:rsidR="00F64C43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 vyplňuje dvě školy, přihlášky</w:t>
      </w:r>
      <w:r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jsou identické</w:t>
      </w:r>
      <w:r w:rsidRPr="00D97DC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).</w:t>
      </w:r>
      <w:r w:rsidR="00F64C43" w:rsidRPr="00D97DC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D97DC9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druhém kole je počet přihlášek neomezený.</w:t>
      </w:r>
      <w:r w:rsid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64C43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Přihlášky vydá dětem   základní škola</w:t>
      </w:r>
      <w:r w:rsidR="0068476F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 už vyplně</w:t>
      </w:r>
      <w:r w:rsidR="00F64C43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nou hlavičkou a známkami, netiskněte si sami.</w:t>
      </w:r>
      <w:r w:rsidR="002975F6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Lékařské potvrzení je nutné po</w:t>
      </w:r>
      <w:r w:rsidR="005A498B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</w:t>
      </w:r>
      <w:r w:rsidR="002975F6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 pro školy, které j</w:t>
      </w:r>
      <w:r w:rsidR="005A498B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 vyžadují – viz Atlas školství nebo </w:t>
      </w:r>
      <w:hyperlink r:id="rId5" w:history="1">
        <w:r w:rsidR="005A498B" w:rsidRPr="00D97DC9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www.stránky</w:t>
        </w:r>
      </w:hyperlink>
      <w:r w:rsidR="005A498B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škol.</w:t>
      </w:r>
    </w:p>
    <w:p w:rsidR="0067576D" w:rsidRPr="00D97DC9" w:rsidRDefault="0067576D" w:rsidP="0067576D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Výsledky přijímacího řízení ke střednímu vzdělávání u přijatých uchazečů se vyhlašuji formou vydání seznamu přijatých uchazečů </w:t>
      </w:r>
      <w:r w:rsidR="0068476F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www. </w:t>
      </w:r>
      <w:proofErr w:type="gramStart"/>
      <w:r w:rsidR="0068476F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stránky</w:t>
      </w:r>
      <w:proofErr w:type="gramEnd"/>
      <w:r w:rsidR="0068476F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školy, nástěnka ve škole</w:t>
      </w:r>
      <w:r w:rsid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Rozhodnutí o přijetí se přijatým uchazečům nevydává. Týká se i uchazečů o přijetí do prvního ročníku nižšího stupně šestiletého a osmiletého gymnázia i uchazečů podávajících přihlášky do oborů vzdělání s talentovou zkouškou. Na základě žádosti lze uchazeči vydat potvrzení o přijetí.</w:t>
      </w:r>
    </w:p>
    <w:p w:rsidR="002975F6" w:rsidRPr="00D97DC9" w:rsidRDefault="0067576D" w:rsidP="002975F6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vyhlášení výsledků potvrzuje</w:t>
      </w:r>
      <w:r w:rsid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do 10 pracovních dnů</w:t>
      </w:r>
      <w:r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přijatý uchazeč zájem o školu zápisovým lístkem</w:t>
      </w:r>
      <w:r w:rsidR="005A498B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který obdrží ve škole před přijímacími zkouškami</w:t>
      </w:r>
      <w:r w:rsid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U</w:t>
      </w:r>
      <w:r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platnění zápisového lístku běží ode dne, kdy ředitel školy zveřejní seznam přijatých uchazečů, den vyhlášení se do běhu lhůty nezapočítává.</w:t>
      </w:r>
      <w:r w:rsidR="002975F6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Vzít zpět zápisový lístek nově školský </w:t>
      </w:r>
      <w:r w:rsidR="002975F6" w:rsidRPr="00D97DC9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zákon neumožňuje. Výjimkou je případ, kdy jej žák bere zpátky pro uplatnění na druhé škole, kde bylo jeho odvolání úspěšné.</w:t>
      </w:r>
    </w:p>
    <w:p w:rsidR="0067576D" w:rsidRPr="00D97DC9" w:rsidRDefault="0067576D" w:rsidP="0067576D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7576D" w:rsidRDefault="0067576D" w:rsidP="0067576D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67576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Nepřijatým uchazečům se jako dosud oznamuje výsledek přijímacího řízení zasláním rozhodnutí písemně. </w:t>
      </w:r>
      <w:r w:rsidR="002975F6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Žák zváží možnost odvolání (může se obrátit na výchovnou poradkyni) a podává si další přihlášku – libovolný počet, na každou vyplní jednu školu.</w:t>
      </w:r>
    </w:p>
    <w:p w:rsidR="00802B44" w:rsidRPr="0067576D" w:rsidRDefault="00802B44" w:rsidP="0067576D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2975F6" w:rsidRDefault="002975F6" w:rsidP="002975F6">
      <w:pPr>
        <w:pStyle w:val="Normlnweb"/>
        <w:shd w:val="clear" w:color="auto" w:fill="FFFFFF"/>
        <w:spacing w:line="360" w:lineRule="atLeast"/>
        <w:rPr>
          <w:rFonts w:ascii="Verdana" w:hAnsi="Verdana"/>
          <w:color w:val="333333"/>
          <w:sz w:val="18"/>
          <w:szCs w:val="18"/>
        </w:rPr>
      </w:pPr>
    </w:p>
    <w:p w:rsidR="0067576D" w:rsidRDefault="0067576D" w:rsidP="00BE1C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67576D" w:rsidRPr="00BE1C70" w:rsidRDefault="0067576D" w:rsidP="00BE1C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sectPr w:rsidR="0067576D" w:rsidRPr="00BE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02FC"/>
    <w:multiLevelType w:val="multilevel"/>
    <w:tmpl w:val="3B92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70"/>
    <w:rsid w:val="000B1254"/>
    <w:rsid w:val="002975F6"/>
    <w:rsid w:val="003A00C2"/>
    <w:rsid w:val="003E567C"/>
    <w:rsid w:val="004C5B88"/>
    <w:rsid w:val="005276C7"/>
    <w:rsid w:val="005A498B"/>
    <w:rsid w:val="00656302"/>
    <w:rsid w:val="0067576D"/>
    <w:rsid w:val="0068476F"/>
    <w:rsid w:val="00802B44"/>
    <w:rsid w:val="00824B94"/>
    <w:rsid w:val="00BD1487"/>
    <w:rsid w:val="00BE1C70"/>
    <w:rsid w:val="00D97DC9"/>
    <w:rsid w:val="00EC37CB"/>
    <w:rsid w:val="00F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0B96"/>
  <w15:docId w15:val="{DC7482AB-6A09-44FE-8A69-0BE3EE4C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E1C70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color w:val="B90503"/>
      <w:kern w:val="36"/>
      <w:sz w:val="38"/>
      <w:szCs w:val="3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75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75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1C70"/>
    <w:rPr>
      <w:rFonts w:ascii="Verdana" w:eastAsia="Times New Roman" w:hAnsi="Verdana" w:cs="Times New Roman"/>
      <w:color w:val="B90503"/>
      <w:kern w:val="36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1C70"/>
    <w:rPr>
      <w:b/>
      <w:bCs/>
      <w:color w:val="177BAD"/>
      <w:u w:val="single"/>
    </w:rPr>
  </w:style>
  <w:style w:type="paragraph" w:styleId="Normlnweb">
    <w:name w:val="Normal (Web)"/>
    <w:basedOn w:val="Normln"/>
    <w:uiPriority w:val="99"/>
    <w:semiHidden/>
    <w:unhideWhenUsed/>
    <w:rsid w:val="00BE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1C7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75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5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etextdirection">
    <w:name w:val="oe_textdirection"/>
    <w:basedOn w:val="Standardnpsmoodstavce"/>
    <w:rsid w:val="002975F6"/>
    <w:rPr>
      <w:rtl/>
    </w:rPr>
  </w:style>
  <w:style w:type="character" w:customStyle="1" w:styleId="oedisplaynone">
    <w:name w:val="oe_displaynone"/>
    <w:basedOn w:val="Standardnpsmoodstavce"/>
    <w:rsid w:val="002975F6"/>
    <w:rPr>
      <w:vanish/>
      <w:webHidden w:val="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5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024502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824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69743">
                          <w:marLeft w:val="0"/>
                          <w:marRight w:val="0"/>
                          <w:marTop w:val="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85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28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610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02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42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15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&#225;n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Richterová</dc:creator>
  <cp:keywords/>
  <dc:description/>
  <cp:lastModifiedBy>Irena Richterová</cp:lastModifiedBy>
  <cp:revision>2</cp:revision>
  <cp:lastPrinted>2022-10-10T12:29:00Z</cp:lastPrinted>
  <dcterms:created xsi:type="dcterms:W3CDTF">2022-10-10T12:37:00Z</dcterms:created>
  <dcterms:modified xsi:type="dcterms:W3CDTF">2022-10-10T12:37:00Z</dcterms:modified>
</cp:coreProperties>
</file>